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65AD" w14:textId="77777777" w:rsidR="00327A63" w:rsidRPr="00376805" w:rsidRDefault="00327A63" w:rsidP="006A6CE0">
      <w:pPr>
        <w:spacing w:after="0" w:line="240" w:lineRule="auto"/>
        <w:ind w:left="-12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7F8A774F" w14:textId="658E149F" w:rsidR="00327A63" w:rsidRPr="00376805" w:rsidRDefault="00327A63" w:rsidP="006A6CE0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საკრედიტო ხაზით მომსახურების</w:t>
      </w:r>
      <w:r w:rsidRPr="00376805">
        <w:rPr>
          <w:rFonts w:ascii="Sylfaen" w:eastAsia="Calibri" w:hAnsi="Sylfaen" w:cs="AcadNusx"/>
          <w:b/>
          <w:bCs/>
          <w:sz w:val="24"/>
          <w:szCs w:val="24"/>
        </w:rPr>
        <w:t xml:space="preserve"> 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ხელშეკრულება </w:t>
      </w:r>
      <w:r w:rsidRPr="00376805">
        <w:rPr>
          <w:rFonts w:ascii="Sylfaen" w:eastAsia="Calibri" w:hAnsi="Sylfaen" w:cs="AcadNusx"/>
          <w:bCs/>
          <w:color w:val="FF0000"/>
          <w:sz w:val="24"/>
          <w:szCs w:val="24"/>
          <w:lang w:val="ru-RU"/>
        </w:rPr>
        <w:t>№</w:t>
      </w:r>
      <w:r w:rsidRPr="0037680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000</w:t>
      </w:r>
      <w:r w:rsidR="000208F4" w:rsidRPr="00376805">
        <w:rPr>
          <w:rFonts w:ascii="Sylfaen" w:eastAsia="Calibri" w:hAnsi="Sylfaen" w:cs="AcadNusx"/>
          <w:bCs/>
          <w:color w:val="FF0000"/>
          <w:sz w:val="24"/>
          <w:szCs w:val="24"/>
        </w:rPr>
        <w:t>000</w:t>
      </w:r>
      <w:r w:rsidRPr="0037680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.</w:t>
      </w:r>
      <w:r w:rsidR="000208F4" w:rsidRPr="00376805">
        <w:rPr>
          <w:rFonts w:ascii="Sylfaen" w:eastAsia="Calibri" w:hAnsi="Sylfaen" w:cs="AcadNusx"/>
          <w:bCs/>
          <w:color w:val="FF0000"/>
          <w:sz w:val="24"/>
          <w:szCs w:val="24"/>
        </w:rPr>
        <w:t xml:space="preserve">000 </w:t>
      </w:r>
      <w:r w:rsidR="000208F4"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ბანკის </w:t>
      </w:r>
      <w:r w:rsidR="000208F4" w:rsidRPr="00376805">
        <w:rPr>
          <w:rFonts w:ascii="Sylfaen" w:eastAsia="Calibri" w:hAnsi="Sylfaen" w:cs="AcadNusx"/>
          <w:bCs/>
          <w:sz w:val="24"/>
          <w:szCs w:val="24"/>
        </w:rPr>
        <w:t xml:space="preserve"> </w:t>
      </w:r>
      <w:r w:rsidR="000208F4" w:rsidRPr="00376805">
        <w:rPr>
          <w:rFonts w:ascii="Sylfaen" w:eastAsia="Calibri" w:hAnsi="Sylfaen" w:cs="AcadNusx"/>
          <w:bCs/>
          <w:sz w:val="24"/>
          <w:szCs w:val="24"/>
          <w:lang w:val="ka-GE"/>
        </w:rPr>
        <w:t>სასარგებლოდ გირავნობით დატვირთული  ავტოსატრანსპორტო საშუალებ(ებ)ის დაზღვევასთან დაკავშირებით</w:t>
      </w:r>
    </w:p>
    <w:p w14:paraId="16BA1618" w14:textId="77777777" w:rsidR="000208F4" w:rsidRPr="00376805" w:rsidRDefault="000208F4" w:rsidP="006A6CE0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sz w:val="24"/>
          <w:szCs w:val="24"/>
        </w:rPr>
      </w:pPr>
    </w:p>
    <w:p w14:paraId="7E100D41" w14:textId="6B909E8C" w:rsidR="00327A63" w:rsidRPr="00376805" w:rsidRDefault="000208F4" w:rsidP="006A6CE0">
      <w:pPr>
        <w:spacing w:after="0" w:line="240" w:lineRule="auto"/>
        <w:ind w:left="-12"/>
        <w:jc w:val="right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color w:val="FF0000"/>
          <w:sz w:val="24"/>
          <w:szCs w:val="24"/>
        </w:rPr>
        <w:t>00.00.2025</w:t>
      </w:r>
      <w:r w:rsidR="00327A63" w:rsidRPr="0037680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წ.</w:t>
      </w:r>
    </w:p>
    <w:p w14:paraId="48D964AF" w14:textId="77777777" w:rsidR="00327A63" w:rsidRPr="00376805" w:rsidRDefault="00327A63" w:rsidP="006A6CE0">
      <w:pPr>
        <w:spacing w:after="0" w:line="240" w:lineRule="auto"/>
        <w:ind w:left="-14" w:right="-180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საპროცენტო განაკვეთი</w:t>
      </w:r>
    </w:p>
    <w:p w14:paraId="56F860F8" w14:textId="25345502" w:rsidR="00327A63" w:rsidRPr="00376805" w:rsidRDefault="00327A63" w:rsidP="006A6CE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საპროცენტო განაკვეთის ტიპი</w:t>
      </w:r>
      <w:r w:rsidR="000208F4" w:rsidRPr="00376805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7680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ფიქსირებული </w:t>
      </w:r>
    </w:p>
    <w:p w14:paraId="11ACEA4E" w14:textId="5003586D" w:rsidR="00327A63" w:rsidRPr="00376805" w:rsidRDefault="00327A63" w:rsidP="006A6CE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წლიური საპროცენტო  განაკვეთი</w:t>
      </w:r>
      <w:r w:rsidR="000208F4" w:rsidRPr="00376805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FD7431" w:rsidRPr="00376805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76805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</w:p>
    <w:p w14:paraId="1FF33EDB" w14:textId="6E0CDC19" w:rsidR="00FD7431" w:rsidRPr="00376805" w:rsidRDefault="00327A63" w:rsidP="00FA7D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Cs/>
          <w:sz w:val="24"/>
          <w:szCs w:val="24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 საპროცენტო განაკვეთი</w:t>
      </w:r>
      <w:r w:rsidR="00FD7431" w:rsidRPr="00376805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76805">
        <w:rPr>
          <w:rFonts w:ascii="Sylfaen" w:eastAsia="Calibri" w:hAnsi="Sylfaen" w:cs="AcadNusx"/>
          <w:bCs/>
          <w:sz w:val="24"/>
          <w:szCs w:val="24"/>
        </w:rPr>
        <w:t xml:space="preserve"> </w:t>
      </w:r>
      <w:r w:rsidR="00FD7431" w:rsidRPr="00376805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FD7431" w:rsidRPr="00376805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="00FD7431"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</w:p>
    <w:p w14:paraId="328D1F3C" w14:textId="7BDCAC6C" w:rsidR="00327A63" w:rsidRPr="00376805" w:rsidRDefault="00327A63" w:rsidP="00FD7431">
      <w:pPr>
        <w:tabs>
          <w:tab w:val="left" w:pos="360"/>
        </w:tabs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 საპროცენტო განაკვეთის გამოთვლაში გათვალისწინებულია ის დაშვება</w:t>
      </w:r>
      <w:r w:rsidRPr="00376805">
        <w:rPr>
          <w:rFonts w:ascii="Sylfaen" w:eastAsia="Calibri" w:hAnsi="Sylfaen" w:cs="AcadNusx"/>
          <w:bCs/>
          <w:sz w:val="24"/>
          <w:szCs w:val="24"/>
        </w:rPr>
        <w:t>,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რომ საკრედიტო </w:t>
      </w:r>
      <w:r w:rsidR="00FD7431"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ხაზის 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ლიმიტის ათვისება მოხდება ერთიანად ხელშეკრულების დადების დღეს</w:t>
      </w:r>
      <w:r w:rsidR="00A62E1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და </w:t>
      </w:r>
      <w:r w:rsidR="00A62E1D" w:rsidRPr="00A62E1D">
        <w:rPr>
          <w:rFonts w:ascii="Sylfaen" w:eastAsia="Calibri" w:hAnsi="Sylfaen" w:cs="AcadNusx"/>
          <w:bCs/>
          <w:sz w:val="24"/>
          <w:szCs w:val="24"/>
          <w:lang w:val="ka-GE"/>
        </w:rPr>
        <w:t>რომ ამ ხელშეკრულების დადების დროს მოქმედი საპროცენტო განაკვეთი უცვლელია ხელშეკრულების მოქმედების ვადის განმავლობაში</w:t>
      </w:r>
    </w:p>
    <w:p w14:paraId="6D476C31" w14:textId="77777777" w:rsidR="006A6CE0" w:rsidRPr="00376805" w:rsidRDefault="006A6CE0" w:rsidP="006A6CE0">
      <w:pPr>
        <w:spacing w:after="0" w:line="240" w:lineRule="auto"/>
        <w:ind w:left="-14" w:firstLine="14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2EF7102F" w14:textId="78FF17F8" w:rsidR="00327A63" w:rsidRPr="00376805" w:rsidRDefault="00327A63" w:rsidP="006A6CE0">
      <w:pPr>
        <w:spacing w:after="0" w:line="240" w:lineRule="auto"/>
        <w:ind w:left="-14" w:firstLine="14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bookmarkStart w:id="0" w:name="_GoBack"/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ფინანსური ხარჯები</w:t>
      </w:r>
      <w:bookmarkEnd w:id="0"/>
    </w:p>
    <w:p w14:paraId="5734B450" w14:textId="615E9C7F" w:rsidR="00327A63" w:rsidRPr="00376805" w:rsidRDefault="00327A63" w:rsidP="006A6CE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-14" w:firstLine="14"/>
        <w:contextualSpacing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ყოველთვიური შენატანები (ძირითადი თანხა+პროცენტი</w:t>
      </w:r>
      <w:r w:rsidR="00667A98" w:rsidRPr="00376805">
        <w:rPr>
          <w:rFonts w:ascii="Sylfaen" w:eastAsia="Calibri" w:hAnsi="Sylfaen" w:cs="AcadNusx"/>
          <w:bCs/>
          <w:sz w:val="24"/>
          <w:szCs w:val="24"/>
          <w:lang w:val="ka-GE"/>
        </w:rPr>
        <w:t>):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0A20BE">
        <w:rPr>
          <w:rFonts w:ascii="Sylfaen" w:hAnsi="Sylfaen" w:cs="Sylfaen"/>
          <w:color w:val="FF0000"/>
          <w:sz w:val="24"/>
          <w:szCs w:val="24"/>
          <w:lang w:val="ka-GE"/>
        </w:rPr>
        <w:t>X ლარი</w:t>
      </w:r>
    </w:p>
    <w:p w14:paraId="0034DE35" w14:textId="24635AA2" w:rsidR="00874F16" w:rsidRPr="000A20BE" w:rsidRDefault="00327A63" w:rsidP="0032354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A20BE">
        <w:rPr>
          <w:rFonts w:ascii="Sylfaen" w:eastAsia="Calibri" w:hAnsi="Sylfaen" w:cs="AcadNusx"/>
          <w:bCs/>
          <w:sz w:val="24"/>
          <w:szCs w:val="24"/>
          <w:lang w:val="ka-GE"/>
        </w:rPr>
        <w:t>ვადის ბოლოს შენატანი</w:t>
      </w:r>
      <w:r w:rsidR="00667A98" w:rsidRPr="000A20BE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0A20B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0A20BE">
        <w:rPr>
          <w:rFonts w:ascii="Sylfaen" w:hAnsi="Sylfaen" w:cs="Sylfaen"/>
          <w:color w:val="FF0000"/>
          <w:sz w:val="24"/>
          <w:szCs w:val="24"/>
          <w:lang w:val="ka-GE"/>
        </w:rPr>
        <w:t>X ლარი</w:t>
      </w:r>
    </w:p>
    <w:p w14:paraId="1298B279" w14:textId="77777777" w:rsidR="000A20BE" w:rsidRPr="000A20BE" w:rsidRDefault="000A20BE" w:rsidP="000A20BE">
      <w:pPr>
        <w:tabs>
          <w:tab w:val="left" w:pos="360"/>
        </w:tabs>
        <w:spacing w:after="0" w:line="240" w:lineRule="auto"/>
        <w:ind w:left="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34270ABD" w14:textId="77777777" w:rsidR="00874F16" w:rsidRPr="00376805" w:rsidRDefault="00874F16" w:rsidP="006A6CE0">
      <w:pPr>
        <w:spacing w:after="0" w:line="240" w:lineRule="auto"/>
        <w:ind w:left="-14" w:firstLine="12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სხვა სახელშეკრულებო ინფორმაცია</w:t>
      </w:r>
    </w:p>
    <w:p w14:paraId="58D3BE2A" w14:textId="0177E9DF" w:rsidR="00874F16" w:rsidRPr="00376805" w:rsidRDefault="00FD7431" w:rsidP="006A6CE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 w:cs="Sylfaen"/>
          <w:sz w:val="24"/>
          <w:szCs w:val="24"/>
          <w:lang w:val="ka-GE"/>
        </w:rPr>
      </w:pPr>
      <w:r w:rsidRPr="00376805">
        <w:rPr>
          <w:rFonts w:ascii="Sylfaen" w:hAnsi="Sylfaen" w:cs="Sylfaen"/>
          <w:sz w:val="24"/>
          <w:szCs w:val="24"/>
          <w:lang w:val="ka-GE"/>
        </w:rPr>
        <w:t xml:space="preserve">საკრედიტო ხაზის ლიმიტის მთლიანი თანხის ოდენობა: </w:t>
      </w:r>
      <w:r w:rsidR="000A20BE">
        <w:rPr>
          <w:rFonts w:ascii="Sylfaen" w:hAnsi="Sylfaen" w:cs="Sylfaen"/>
          <w:color w:val="FF0000"/>
          <w:sz w:val="24"/>
          <w:szCs w:val="24"/>
          <w:lang w:val="ka-GE"/>
        </w:rPr>
        <w:t>X ლარი</w:t>
      </w:r>
    </w:p>
    <w:p w14:paraId="4E33325D" w14:textId="2AC753D7" w:rsidR="00874F16" w:rsidRPr="00376805" w:rsidRDefault="00874F16" w:rsidP="006A6CE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 w:cs="Sylfaen"/>
          <w:sz w:val="24"/>
          <w:szCs w:val="24"/>
          <w:lang w:val="ka-GE"/>
        </w:rPr>
      </w:pPr>
      <w:r w:rsidRPr="00376805">
        <w:rPr>
          <w:rFonts w:ascii="Sylfaen" w:hAnsi="Sylfaen" w:cs="Sylfaen"/>
          <w:sz w:val="24"/>
          <w:szCs w:val="24"/>
          <w:lang w:val="ka-GE"/>
        </w:rPr>
        <w:t>მომხმარებლის მიერ გადასახდელი მთლიანი თანხის ოდენობა</w:t>
      </w:r>
      <w:r w:rsidR="00FD7431" w:rsidRPr="00376805">
        <w:rPr>
          <w:rFonts w:ascii="Sylfaen" w:hAnsi="Sylfaen" w:cs="Sylfaen"/>
          <w:sz w:val="24"/>
          <w:szCs w:val="24"/>
          <w:lang w:val="ka-GE"/>
        </w:rPr>
        <w:t>:</w:t>
      </w:r>
      <w:r w:rsidRPr="0037680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20BE">
        <w:rPr>
          <w:rFonts w:ascii="Sylfaen" w:hAnsi="Sylfaen" w:cs="Sylfaen"/>
          <w:color w:val="FF0000"/>
          <w:sz w:val="24"/>
          <w:szCs w:val="24"/>
          <w:lang w:val="ka-GE"/>
        </w:rPr>
        <w:t>X ლარი</w:t>
      </w:r>
    </w:p>
    <w:p w14:paraId="1D200336" w14:textId="47AFA9E5" w:rsidR="00874F16" w:rsidRPr="00376805" w:rsidRDefault="00FD7431" w:rsidP="006A6CE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 w:cs="Sylfaen"/>
          <w:sz w:val="24"/>
          <w:szCs w:val="24"/>
          <w:lang w:val="ka-GE"/>
        </w:rPr>
      </w:pPr>
      <w:r w:rsidRPr="00376805">
        <w:rPr>
          <w:rFonts w:ascii="Sylfaen" w:hAnsi="Sylfaen" w:cs="Sylfaen"/>
          <w:sz w:val="24"/>
          <w:szCs w:val="24"/>
          <w:lang w:val="ka-GE"/>
        </w:rPr>
        <w:t xml:space="preserve">საკრედიტო ხაზის ვადა: </w:t>
      </w:r>
      <w:r w:rsidR="000A20BE" w:rsidRPr="000A20BE">
        <w:rPr>
          <w:rFonts w:ascii="Sylfaen" w:hAnsi="Sylfaen"/>
          <w:b/>
          <w:bCs/>
          <w:iCs/>
          <w:color w:val="FF0000"/>
          <w:sz w:val="24"/>
          <w:szCs w:val="24"/>
          <w:lang w:val="ka-GE"/>
        </w:rPr>
        <w:t>-</w:t>
      </w:r>
      <w:r w:rsidR="00B94DAF">
        <w:rPr>
          <w:rFonts w:ascii="Sylfaen" w:hAnsi="Sylfaen" w:cs="Sylfaen"/>
          <w:b/>
          <w:color w:val="FF0000"/>
          <w:sz w:val="24"/>
          <w:szCs w:val="24"/>
          <w:lang w:val="ka-GE"/>
        </w:rPr>
        <w:t>------</w:t>
      </w:r>
    </w:p>
    <w:p w14:paraId="1835FBDA" w14:textId="4F8DA272" w:rsidR="00327A63" w:rsidRPr="000A20BE" w:rsidRDefault="00E170DD" w:rsidP="002B6B49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A20BE">
        <w:rPr>
          <w:rFonts w:ascii="Sylfaen" w:hAnsi="Sylfaen" w:cs="Sylfaen"/>
          <w:sz w:val="24"/>
          <w:szCs w:val="24"/>
          <w:lang w:val="ka-GE"/>
        </w:rPr>
        <w:t xml:space="preserve">საკრედიტო ხაზის </w:t>
      </w:r>
      <w:r w:rsidR="00874F16" w:rsidRPr="000A20BE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874F16" w:rsidRPr="000A20B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მოქმედების ვადა</w:t>
      </w:r>
      <w:r w:rsidR="00FD7431" w:rsidRPr="000A20BE">
        <w:rPr>
          <w:rFonts w:ascii="Sylfaen" w:eastAsia="Calibri" w:hAnsi="Sylfaen" w:cs="AcadNusx"/>
          <w:bCs/>
          <w:sz w:val="24"/>
          <w:szCs w:val="24"/>
        </w:rPr>
        <w:t>:</w:t>
      </w:r>
      <w:r w:rsidR="00874F16" w:rsidRPr="000A20B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0A20BE" w:rsidRPr="000A20BE">
        <w:rPr>
          <w:rFonts w:ascii="Sylfaen" w:hAnsi="Sylfaen"/>
          <w:b/>
          <w:bCs/>
          <w:iCs/>
          <w:color w:val="FF0000"/>
          <w:sz w:val="24"/>
          <w:szCs w:val="24"/>
          <w:lang w:val="ka-GE"/>
        </w:rPr>
        <w:t>-</w:t>
      </w:r>
      <w:r w:rsidR="000A20BE" w:rsidRPr="000A20BE">
        <w:rPr>
          <w:rFonts w:ascii="Sylfaen" w:hAnsi="Sylfaen" w:cs="Sylfaen"/>
          <w:b/>
          <w:color w:val="FF0000"/>
          <w:sz w:val="24"/>
          <w:szCs w:val="24"/>
          <w:lang w:val="ka-GE"/>
        </w:rPr>
        <w:t>---</w:t>
      </w:r>
      <w:r w:rsidR="00B94DAF">
        <w:rPr>
          <w:rFonts w:ascii="Sylfaen" w:hAnsi="Sylfaen" w:cs="Sylfaen"/>
          <w:b/>
          <w:color w:val="FF0000"/>
          <w:sz w:val="24"/>
          <w:szCs w:val="24"/>
          <w:lang w:val="ka-GE"/>
        </w:rPr>
        <w:t>----</w:t>
      </w:r>
    </w:p>
    <w:p w14:paraId="4AD811BB" w14:textId="77777777" w:rsidR="000A20BE" w:rsidRPr="000A20BE" w:rsidRDefault="000A20BE" w:rsidP="000A20B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6A0B9011" w14:textId="77777777" w:rsidR="00327A63" w:rsidRPr="00376805" w:rsidRDefault="00327A63" w:rsidP="006A6CE0">
      <w:pPr>
        <w:spacing w:after="0" w:line="240" w:lineRule="auto"/>
        <w:ind w:left="-14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vertAlign w:val="subscript"/>
          <w:lang w:val="ka-GE"/>
        </w:rPr>
      </w:pPr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პირგასამტეხლოები</w:t>
      </w:r>
    </w:p>
    <w:p w14:paraId="3DFA0A17" w14:textId="4CD76E64" w:rsidR="00E84318" w:rsidRDefault="00E84318" w:rsidP="00E84318">
      <w:pPr>
        <w:pStyle w:val="ListParagraph"/>
        <w:tabs>
          <w:tab w:val="left" w:pos="540"/>
        </w:tabs>
        <w:spacing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მომხმარებელს უფლება აქვს ვადაზე ადრე, სრულად და/ან ნაწილობრივ დაფაროს კრედიტ(ებ)ი,</w:t>
      </w:r>
      <w:r w:rsidR="00B87E9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ასეთ შემთხვევაში </w:t>
      </w:r>
      <w:r w:rsidR="00B87E9B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მომხმარებელს კრედიტ(ებ)ის</w:t>
      </w:r>
      <w:r w:rsidRPr="00376805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ვადაზე ადრე დაფარვის პირგასამტეხლო </w:t>
      </w:r>
      <w:r w:rsidR="00B87E9B">
        <w:rPr>
          <w:rFonts w:ascii="Sylfaen" w:eastAsia="Calibri" w:hAnsi="Sylfaen" w:cs="AcadNusx"/>
          <w:bCs/>
          <w:sz w:val="24"/>
          <w:szCs w:val="24"/>
          <w:lang w:val="ka-GE"/>
        </w:rPr>
        <w:t>არ დაეკისრება</w:t>
      </w:r>
    </w:p>
    <w:p w14:paraId="76B83A4E" w14:textId="77777777" w:rsidR="00B87E9B" w:rsidRPr="00376805" w:rsidRDefault="00B87E9B" w:rsidP="00E84318">
      <w:pPr>
        <w:pStyle w:val="ListParagraph"/>
        <w:tabs>
          <w:tab w:val="left" w:pos="540"/>
        </w:tabs>
        <w:spacing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08EC3623" w14:textId="77777777" w:rsidR="00874F16" w:rsidRPr="00376805" w:rsidRDefault="00874F16" w:rsidP="006A6CE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376805">
        <w:rPr>
          <w:rFonts w:ascii="Sylfaen" w:hAnsi="Sylfaen"/>
          <w:bCs/>
          <w:iCs/>
          <w:sz w:val="24"/>
          <w:szCs w:val="24"/>
          <w:lang w:val="ka-GE"/>
        </w:rPr>
        <w:t xml:space="preserve">ვადაგადაცილების პირგასამტეხლო - ვადაგადაცილებული თანხის </w:t>
      </w:r>
      <w:r w:rsidRPr="00376805">
        <w:rPr>
          <w:rFonts w:ascii="Sylfaen" w:hAnsi="Sylfaen"/>
          <w:bCs/>
          <w:iCs/>
          <w:color w:val="FF0000"/>
          <w:sz w:val="24"/>
          <w:szCs w:val="24"/>
          <w:lang w:val="ka-GE"/>
        </w:rPr>
        <w:t xml:space="preserve">0.4% </w:t>
      </w:r>
      <w:r w:rsidRPr="00376805">
        <w:rPr>
          <w:rFonts w:ascii="Sylfaen" w:hAnsi="Sylfaen"/>
          <w:bCs/>
          <w:iCs/>
          <w:sz w:val="24"/>
          <w:szCs w:val="24"/>
          <w:lang w:val="ka-GE"/>
        </w:rPr>
        <w:t>ყოველ ვადაგადაცილებულ დღეზე, არაუმეტეს ნარჩენი ძირითადი თანხის 0.27%-სა, ამასთან, 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1.5-მაგ ოდენობას.</w:t>
      </w:r>
    </w:p>
    <w:p w14:paraId="08696834" w14:textId="3249AF54" w:rsidR="00D71926" w:rsidRDefault="00D71926" w:rsidP="00D02A83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28E97B11" w14:textId="77777777" w:rsidR="00E72446" w:rsidRPr="00030BF2" w:rsidRDefault="00E72446" w:rsidP="00E72446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30BF2">
        <w:rPr>
          <w:rFonts w:ascii="Sylfaen" w:eastAsia="Calibri" w:hAnsi="Sylfaen" w:cs="AcadNusx"/>
          <w:b/>
          <w:bCs/>
          <w:sz w:val="24"/>
          <w:szCs w:val="24"/>
          <w:lang w:val="ka-GE"/>
        </w:rPr>
        <w:t>ვალდებულების შეუსრულებლობის შემთხვევაში,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საშუალებ(ებ)ის მიმართ საქართველოს კანონმდებლობით გათვალისწინებული შესაბამისი ღონისძიებების (მათ შორის, ქონების რეალიზაციის ან/და დასაკუთრების გზით) განხორციელებით</w:t>
      </w:r>
    </w:p>
    <w:p w14:paraId="4FD7E7EE" w14:textId="77777777" w:rsidR="00E72446" w:rsidRPr="00376805" w:rsidRDefault="00E72446" w:rsidP="00D02A83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6ED4F54B" w14:textId="77777777" w:rsidR="00AA769E" w:rsidRPr="00376805" w:rsidRDefault="00AA769E" w:rsidP="006A6CE0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376805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პირობების ბანკის მიერ ცალმხრივად ცვლილების შემთხვევაში, მომხმარებლის ინფორმირება მოხდება ცვლილებამდე არანაკლებ 2 (ორი) თვით ადრე, სხვა საფინანსო პროდუქტის ფასის ზრდის შემთხვევაში – არანაკლებ ერთი თვით ადრე, ხოლო ხელშეკრულებით წინასწარ განსაზღვრული და მომხმარებლის ქმედებით გამოწვეული გარემოებების დადგომის  გამო (ასეთის არსებობის შემთხვევაში) ცვლილების/ფასის ზრდის შემდეგ 5 (ხუთი) სამუშაო დღის ვადაში, წერილობით/ელექტრონული ფოსტით/ინტერნეტბანკით/მოკლე ტექსტური შეტყობინებით.</w:t>
      </w:r>
    </w:p>
    <w:p w14:paraId="2132194B" w14:textId="77777777" w:rsidR="00B87E9B" w:rsidRDefault="00B87E9B" w:rsidP="00B87E9B">
      <w:pPr>
        <w:contextualSpacing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1A012113" w14:textId="77777777" w:rsidR="00B87E9B" w:rsidRPr="006E2F01" w:rsidRDefault="00B87E9B" w:rsidP="002F1DB7">
      <w:pPr>
        <w:spacing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მომხმარებელს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უფლება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აქვს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ყოველგვარი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საფუძვლის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მითითების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გარეშე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თქვას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წინამდებარე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ხელშეკრულებაზე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ამ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დადებიდან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>/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მიწოდებიდან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14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კალენდარული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დღის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განმავლობაში.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ხელშეკრულებაზე უარის თქმის პირობები მითითებულია წინამდებარე ხელშეკრულების </w:t>
      </w:r>
      <w:r w:rsidRPr="002F1DB7">
        <w:rPr>
          <w:rFonts w:ascii="Sylfaen" w:eastAsia="Calibri" w:hAnsi="Sylfaen" w:cs="AcadNusx"/>
          <w:bCs/>
          <w:sz w:val="24"/>
          <w:szCs w:val="24"/>
          <w:lang w:val="ka-GE"/>
        </w:rPr>
        <w:t>მე-3 მუხლში</w:t>
      </w:r>
    </w:p>
    <w:p w14:paraId="1E4A69AA" w14:textId="77777777" w:rsidR="00B87E9B" w:rsidRPr="00376805" w:rsidRDefault="00B87E9B" w:rsidP="00E84318">
      <w:pPr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2522A2A0" w14:textId="1F410478" w:rsidR="00327A63" w:rsidRDefault="00327A63" w:rsidP="006A6CE0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376805">
        <w:rPr>
          <w:rFonts w:ascii="Sylfaen" w:hAnsi="Sylfaen" w:cs="AcadNusx"/>
          <w:bCs/>
          <w:sz w:val="24"/>
          <w:szCs w:val="24"/>
          <w:lang w:val="ka-GE"/>
        </w:rPr>
        <w:t>მომხმარებელს უფლება აქვს წარადგინოს პრეტენზია ფინანსური ორგანიზაციის პრეტენზიების სამსახურში ზეპირი</w:t>
      </w:r>
      <w:r w:rsidR="00E84318" w:rsidRPr="00376805">
        <w:rPr>
          <w:rFonts w:ascii="Sylfaen" w:hAnsi="Sylfaen" w:cs="AcadNusx"/>
          <w:bCs/>
          <w:sz w:val="24"/>
          <w:szCs w:val="24"/>
          <w:lang w:val="ka-GE"/>
        </w:rPr>
        <w:t>, თავისუფალი წერილობითი, სტანდა</w:t>
      </w:r>
      <w:r w:rsidRPr="00376805">
        <w:rPr>
          <w:rFonts w:ascii="Sylfaen" w:hAnsi="Sylfaen" w:cs="AcadNusx"/>
          <w:bCs/>
          <w:sz w:val="24"/>
          <w:szCs w:val="24"/>
          <w:lang w:val="ka-GE"/>
        </w:rPr>
        <w:t xml:space="preserve">რტული წერილობითი ან ელექტრონული ფორმით. </w:t>
      </w:r>
    </w:p>
    <w:p w14:paraId="1C5538E0" w14:textId="77777777" w:rsidR="00310686" w:rsidRPr="00376805" w:rsidRDefault="00310686" w:rsidP="006A6CE0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0506418C" w14:textId="123B3F92" w:rsidR="00327A63" w:rsidRPr="00376805" w:rsidRDefault="00327A63" w:rsidP="006A6CE0">
      <w:pPr>
        <w:spacing w:after="0" w:line="240" w:lineRule="auto"/>
        <w:ind w:left="-12"/>
        <w:jc w:val="both"/>
        <w:rPr>
          <w:rFonts w:ascii="Sylfaen" w:hAnsi="Sylfaen"/>
          <w:bCs/>
          <w:sz w:val="24"/>
          <w:szCs w:val="24"/>
          <w:lang w:val="ka-GE"/>
        </w:rPr>
      </w:pPr>
      <w:r w:rsidRPr="00376805">
        <w:rPr>
          <w:rFonts w:ascii="Sylfaen" w:hAnsi="Sylfaen" w:cs="AcadNusx"/>
          <w:bCs/>
          <w:sz w:val="24"/>
          <w:szCs w:val="24"/>
          <w:lang w:val="ka-GE"/>
        </w:rPr>
        <w:t>გაეცანით მომხმარებელთათვის  სასარგებლო ინფორმაციას საქართველოს ეროვნული ბანკის ვებგვერდსა –</w:t>
      </w:r>
      <w:r w:rsidR="00FB5F04" w:rsidRPr="00376805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hyperlink r:id="rId6" w:history="1">
        <w:r w:rsidR="00FB5F04" w:rsidRPr="00376805">
          <w:rPr>
            <w:rStyle w:val="Hyperlink"/>
            <w:rFonts w:ascii="Sylfaen" w:eastAsia="Sylfaen" w:hAnsi="Sylfaen"/>
            <w:sz w:val="24"/>
            <w:szCs w:val="24"/>
            <w:lang w:val="ka-GE"/>
          </w:rPr>
          <w:t>http://nbg.gov.ge/cp</w:t>
        </w:r>
      </w:hyperlink>
      <w:r w:rsidRPr="00376805">
        <w:rPr>
          <w:sz w:val="24"/>
          <w:szCs w:val="24"/>
          <w:lang w:val="ka-GE"/>
        </w:rPr>
        <w:t xml:space="preserve"> </w:t>
      </w:r>
      <w:r w:rsidRPr="00376805">
        <w:rPr>
          <w:rFonts w:ascii="Sylfaen" w:hAnsi="Sylfaen"/>
          <w:bCs/>
          <w:sz w:val="24"/>
          <w:szCs w:val="24"/>
          <w:lang w:val="ka-GE"/>
        </w:rPr>
        <w:t>და ცხელ ხაზზე – 032 2 406 406.</w:t>
      </w:r>
    </w:p>
    <w:sectPr w:rsidR="00327A63" w:rsidRPr="00376805" w:rsidSect="00B87E9B">
      <w:pgSz w:w="12240" w:h="15840"/>
      <w:pgMar w:top="18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6F41"/>
    <w:multiLevelType w:val="multilevel"/>
    <w:tmpl w:val="6C465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1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440"/>
      </w:pPr>
      <w:rPr>
        <w:rFonts w:hint="default"/>
      </w:rPr>
    </w:lvl>
  </w:abstractNum>
  <w:abstractNum w:abstractNumId="1" w15:restartNumberingAfterBreak="0">
    <w:nsid w:val="15615C35"/>
    <w:multiLevelType w:val="hybridMultilevel"/>
    <w:tmpl w:val="0ED8B79E"/>
    <w:lvl w:ilvl="0" w:tplc="68DE62E2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5E78"/>
    <w:multiLevelType w:val="hybridMultilevel"/>
    <w:tmpl w:val="3AFC2224"/>
    <w:lvl w:ilvl="0" w:tplc="261E9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54B5"/>
    <w:multiLevelType w:val="hybridMultilevel"/>
    <w:tmpl w:val="ECCE20C6"/>
    <w:lvl w:ilvl="0" w:tplc="FE9C48FA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6A35"/>
    <w:multiLevelType w:val="hybridMultilevel"/>
    <w:tmpl w:val="7F04334E"/>
    <w:lvl w:ilvl="0" w:tplc="E7E25040">
      <w:numFmt w:val="bullet"/>
      <w:lvlText w:val="-"/>
      <w:lvlJc w:val="left"/>
      <w:pPr>
        <w:ind w:left="708" w:hanging="360"/>
      </w:pPr>
      <w:rPr>
        <w:rFonts w:ascii="Sylfaen" w:eastAsia="Merriweather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4C396D55"/>
    <w:multiLevelType w:val="hybridMultilevel"/>
    <w:tmpl w:val="6966E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E0F"/>
    <w:multiLevelType w:val="multilevel"/>
    <w:tmpl w:val="C2A48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7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17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D"/>
    <w:rsid w:val="00002A08"/>
    <w:rsid w:val="00007281"/>
    <w:rsid w:val="000208F4"/>
    <w:rsid w:val="0002148C"/>
    <w:rsid w:val="00026959"/>
    <w:rsid w:val="0002763B"/>
    <w:rsid w:val="00045907"/>
    <w:rsid w:val="00045E28"/>
    <w:rsid w:val="00071B9A"/>
    <w:rsid w:val="000805CE"/>
    <w:rsid w:val="00096128"/>
    <w:rsid w:val="000A20BE"/>
    <w:rsid w:val="000A6EAC"/>
    <w:rsid w:val="000A70FF"/>
    <w:rsid w:val="000B0594"/>
    <w:rsid w:val="000B2C3E"/>
    <w:rsid w:val="000B4D4A"/>
    <w:rsid w:val="000C35F8"/>
    <w:rsid w:val="000D2C08"/>
    <w:rsid w:val="000E0131"/>
    <w:rsid w:val="000F6FD2"/>
    <w:rsid w:val="001054F4"/>
    <w:rsid w:val="00105B50"/>
    <w:rsid w:val="001304D8"/>
    <w:rsid w:val="00135C68"/>
    <w:rsid w:val="00150864"/>
    <w:rsid w:val="00155FC5"/>
    <w:rsid w:val="0017542A"/>
    <w:rsid w:val="001801ED"/>
    <w:rsid w:val="00191979"/>
    <w:rsid w:val="001948EB"/>
    <w:rsid w:val="00195020"/>
    <w:rsid w:val="001A5D67"/>
    <w:rsid w:val="001B0E11"/>
    <w:rsid w:val="001B1617"/>
    <w:rsid w:val="001C1D4E"/>
    <w:rsid w:val="001D6B3A"/>
    <w:rsid w:val="001E43F7"/>
    <w:rsid w:val="001E594D"/>
    <w:rsid w:val="001F4F13"/>
    <w:rsid w:val="001F5925"/>
    <w:rsid w:val="001F76FA"/>
    <w:rsid w:val="002023BF"/>
    <w:rsid w:val="00212862"/>
    <w:rsid w:val="002252E2"/>
    <w:rsid w:val="00232D83"/>
    <w:rsid w:val="00234A03"/>
    <w:rsid w:val="00246E1C"/>
    <w:rsid w:val="002505DC"/>
    <w:rsid w:val="00266735"/>
    <w:rsid w:val="00273ADF"/>
    <w:rsid w:val="002B23FC"/>
    <w:rsid w:val="002C0893"/>
    <w:rsid w:val="002D2090"/>
    <w:rsid w:val="002D4B40"/>
    <w:rsid w:val="002F1DB7"/>
    <w:rsid w:val="002F5A1B"/>
    <w:rsid w:val="002F79AB"/>
    <w:rsid w:val="0030290F"/>
    <w:rsid w:val="00310686"/>
    <w:rsid w:val="00321009"/>
    <w:rsid w:val="00322A0F"/>
    <w:rsid w:val="00327A63"/>
    <w:rsid w:val="00335E67"/>
    <w:rsid w:val="003366BA"/>
    <w:rsid w:val="0034143E"/>
    <w:rsid w:val="00343A1A"/>
    <w:rsid w:val="003657AC"/>
    <w:rsid w:val="003722E8"/>
    <w:rsid w:val="00375C8D"/>
    <w:rsid w:val="00376647"/>
    <w:rsid w:val="00376805"/>
    <w:rsid w:val="003865B2"/>
    <w:rsid w:val="00391830"/>
    <w:rsid w:val="0039796B"/>
    <w:rsid w:val="003A517D"/>
    <w:rsid w:val="003A72D5"/>
    <w:rsid w:val="003C0CB4"/>
    <w:rsid w:val="003C4388"/>
    <w:rsid w:val="003C6C6E"/>
    <w:rsid w:val="003F0700"/>
    <w:rsid w:val="003F23B3"/>
    <w:rsid w:val="003F28C4"/>
    <w:rsid w:val="00400970"/>
    <w:rsid w:val="00404B95"/>
    <w:rsid w:val="00436E0D"/>
    <w:rsid w:val="004374F2"/>
    <w:rsid w:val="0046175C"/>
    <w:rsid w:val="00477DD8"/>
    <w:rsid w:val="00494EDB"/>
    <w:rsid w:val="00497ABA"/>
    <w:rsid w:val="004A0468"/>
    <w:rsid w:val="004A2EF5"/>
    <w:rsid w:val="004A2F5A"/>
    <w:rsid w:val="004A530F"/>
    <w:rsid w:val="004A53E8"/>
    <w:rsid w:val="004B2247"/>
    <w:rsid w:val="004B48D3"/>
    <w:rsid w:val="004C30E0"/>
    <w:rsid w:val="004C5B6F"/>
    <w:rsid w:val="004C607A"/>
    <w:rsid w:val="004D4AA8"/>
    <w:rsid w:val="004D6250"/>
    <w:rsid w:val="004D6DAF"/>
    <w:rsid w:val="00502DE5"/>
    <w:rsid w:val="005063D4"/>
    <w:rsid w:val="00507142"/>
    <w:rsid w:val="005210DE"/>
    <w:rsid w:val="00522A3A"/>
    <w:rsid w:val="00530F93"/>
    <w:rsid w:val="00534318"/>
    <w:rsid w:val="00534C96"/>
    <w:rsid w:val="00574A40"/>
    <w:rsid w:val="005A5A23"/>
    <w:rsid w:val="005B193A"/>
    <w:rsid w:val="005B4D43"/>
    <w:rsid w:val="005C0A8E"/>
    <w:rsid w:val="005C4825"/>
    <w:rsid w:val="005D60C5"/>
    <w:rsid w:val="005F057E"/>
    <w:rsid w:val="005F42FB"/>
    <w:rsid w:val="00602A3F"/>
    <w:rsid w:val="00611ADF"/>
    <w:rsid w:val="00612DD1"/>
    <w:rsid w:val="00615CD2"/>
    <w:rsid w:val="00621784"/>
    <w:rsid w:val="00635FB4"/>
    <w:rsid w:val="00651B81"/>
    <w:rsid w:val="00657FA3"/>
    <w:rsid w:val="00665FE0"/>
    <w:rsid w:val="00667A98"/>
    <w:rsid w:val="00685894"/>
    <w:rsid w:val="00686D29"/>
    <w:rsid w:val="006915F3"/>
    <w:rsid w:val="00692BBD"/>
    <w:rsid w:val="006935C7"/>
    <w:rsid w:val="006A6CE0"/>
    <w:rsid w:val="006B54B8"/>
    <w:rsid w:val="006B71D3"/>
    <w:rsid w:val="006B73BF"/>
    <w:rsid w:val="006D74FD"/>
    <w:rsid w:val="006E763A"/>
    <w:rsid w:val="00712120"/>
    <w:rsid w:val="00715527"/>
    <w:rsid w:val="00724B5D"/>
    <w:rsid w:val="00742A07"/>
    <w:rsid w:val="00744141"/>
    <w:rsid w:val="00752395"/>
    <w:rsid w:val="00762F81"/>
    <w:rsid w:val="00764121"/>
    <w:rsid w:val="00777CAC"/>
    <w:rsid w:val="007861D5"/>
    <w:rsid w:val="0079659A"/>
    <w:rsid w:val="007A4A7C"/>
    <w:rsid w:val="007B48E4"/>
    <w:rsid w:val="007C07BD"/>
    <w:rsid w:val="007D6B12"/>
    <w:rsid w:val="007F7A48"/>
    <w:rsid w:val="0080050B"/>
    <w:rsid w:val="00802F5B"/>
    <w:rsid w:val="00804BC9"/>
    <w:rsid w:val="00813AF4"/>
    <w:rsid w:val="0081700C"/>
    <w:rsid w:val="00833EA3"/>
    <w:rsid w:val="00835860"/>
    <w:rsid w:val="00843932"/>
    <w:rsid w:val="0084796A"/>
    <w:rsid w:val="00861617"/>
    <w:rsid w:val="00872893"/>
    <w:rsid w:val="0087409B"/>
    <w:rsid w:val="00874F16"/>
    <w:rsid w:val="008778F4"/>
    <w:rsid w:val="008B239D"/>
    <w:rsid w:val="008B651C"/>
    <w:rsid w:val="008F59F7"/>
    <w:rsid w:val="008F5C1D"/>
    <w:rsid w:val="008F7874"/>
    <w:rsid w:val="009020FD"/>
    <w:rsid w:val="009065D6"/>
    <w:rsid w:val="009323F3"/>
    <w:rsid w:val="00943CDF"/>
    <w:rsid w:val="009529AA"/>
    <w:rsid w:val="00952CFB"/>
    <w:rsid w:val="0096460E"/>
    <w:rsid w:val="00977362"/>
    <w:rsid w:val="009820BB"/>
    <w:rsid w:val="00983243"/>
    <w:rsid w:val="00992B1F"/>
    <w:rsid w:val="0099367B"/>
    <w:rsid w:val="009A7A70"/>
    <w:rsid w:val="009B5D68"/>
    <w:rsid w:val="009C2A6A"/>
    <w:rsid w:val="009C437D"/>
    <w:rsid w:val="009C6B22"/>
    <w:rsid w:val="009D3DD9"/>
    <w:rsid w:val="009E1667"/>
    <w:rsid w:val="009F52A4"/>
    <w:rsid w:val="00A0741C"/>
    <w:rsid w:val="00A10E5D"/>
    <w:rsid w:val="00A17B7C"/>
    <w:rsid w:val="00A26EF0"/>
    <w:rsid w:val="00A46655"/>
    <w:rsid w:val="00A61771"/>
    <w:rsid w:val="00A61CA7"/>
    <w:rsid w:val="00A62E1D"/>
    <w:rsid w:val="00A64EB6"/>
    <w:rsid w:val="00A82226"/>
    <w:rsid w:val="00AA4FBD"/>
    <w:rsid w:val="00AA769E"/>
    <w:rsid w:val="00AB564F"/>
    <w:rsid w:val="00AF7125"/>
    <w:rsid w:val="00B11166"/>
    <w:rsid w:val="00B15AC2"/>
    <w:rsid w:val="00B50B71"/>
    <w:rsid w:val="00B517DF"/>
    <w:rsid w:val="00B54301"/>
    <w:rsid w:val="00B87E9B"/>
    <w:rsid w:val="00B94DAF"/>
    <w:rsid w:val="00B955F1"/>
    <w:rsid w:val="00BA5B3C"/>
    <w:rsid w:val="00BA7CA9"/>
    <w:rsid w:val="00BC302B"/>
    <w:rsid w:val="00BD4C7D"/>
    <w:rsid w:val="00BD6514"/>
    <w:rsid w:val="00C03D6C"/>
    <w:rsid w:val="00C11F64"/>
    <w:rsid w:val="00C3176D"/>
    <w:rsid w:val="00C66977"/>
    <w:rsid w:val="00C67977"/>
    <w:rsid w:val="00C70178"/>
    <w:rsid w:val="00C96434"/>
    <w:rsid w:val="00CA21C6"/>
    <w:rsid w:val="00CA3075"/>
    <w:rsid w:val="00CA3D8A"/>
    <w:rsid w:val="00CB20D7"/>
    <w:rsid w:val="00CB2406"/>
    <w:rsid w:val="00CC6E6B"/>
    <w:rsid w:val="00CD5BB4"/>
    <w:rsid w:val="00CE7DBF"/>
    <w:rsid w:val="00D00232"/>
    <w:rsid w:val="00D02A83"/>
    <w:rsid w:val="00D13E3C"/>
    <w:rsid w:val="00D20337"/>
    <w:rsid w:val="00D21269"/>
    <w:rsid w:val="00D51D7F"/>
    <w:rsid w:val="00D5734C"/>
    <w:rsid w:val="00D67CB0"/>
    <w:rsid w:val="00D71926"/>
    <w:rsid w:val="00D71AB1"/>
    <w:rsid w:val="00D82359"/>
    <w:rsid w:val="00D828D2"/>
    <w:rsid w:val="00D8589A"/>
    <w:rsid w:val="00D96741"/>
    <w:rsid w:val="00D97B30"/>
    <w:rsid w:val="00DA2206"/>
    <w:rsid w:val="00DB3A1B"/>
    <w:rsid w:val="00DB4A17"/>
    <w:rsid w:val="00DC11F7"/>
    <w:rsid w:val="00DC3332"/>
    <w:rsid w:val="00DD2706"/>
    <w:rsid w:val="00DE4D96"/>
    <w:rsid w:val="00DE6760"/>
    <w:rsid w:val="00E13A05"/>
    <w:rsid w:val="00E162FD"/>
    <w:rsid w:val="00E170DD"/>
    <w:rsid w:val="00E20E75"/>
    <w:rsid w:val="00E2406C"/>
    <w:rsid w:val="00E269FB"/>
    <w:rsid w:val="00E343DB"/>
    <w:rsid w:val="00E64A62"/>
    <w:rsid w:val="00E67AFD"/>
    <w:rsid w:val="00E715AB"/>
    <w:rsid w:val="00E72446"/>
    <w:rsid w:val="00E72ABD"/>
    <w:rsid w:val="00E747FD"/>
    <w:rsid w:val="00E84318"/>
    <w:rsid w:val="00E87874"/>
    <w:rsid w:val="00E95BDF"/>
    <w:rsid w:val="00E96232"/>
    <w:rsid w:val="00EA0689"/>
    <w:rsid w:val="00EA0B43"/>
    <w:rsid w:val="00EA2ADC"/>
    <w:rsid w:val="00EB19B1"/>
    <w:rsid w:val="00EB5152"/>
    <w:rsid w:val="00EC3522"/>
    <w:rsid w:val="00ED44AC"/>
    <w:rsid w:val="00ED64DD"/>
    <w:rsid w:val="00EE1B3F"/>
    <w:rsid w:val="00F004AF"/>
    <w:rsid w:val="00F10CB6"/>
    <w:rsid w:val="00F25CA8"/>
    <w:rsid w:val="00F26583"/>
    <w:rsid w:val="00F346F7"/>
    <w:rsid w:val="00F411FF"/>
    <w:rsid w:val="00F441AC"/>
    <w:rsid w:val="00F6259B"/>
    <w:rsid w:val="00F6614A"/>
    <w:rsid w:val="00F72FFC"/>
    <w:rsid w:val="00F74AA1"/>
    <w:rsid w:val="00FA7C10"/>
    <w:rsid w:val="00FB2F03"/>
    <w:rsid w:val="00FB5F04"/>
    <w:rsid w:val="00FC2430"/>
    <w:rsid w:val="00FC63D1"/>
    <w:rsid w:val="00FD1807"/>
    <w:rsid w:val="00FD3E8C"/>
    <w:rsid w:val="00FD7431"/>
    <w:rsid w:val="00FE0DBB"/>
    <w:rsid w:val="00FE1302"/>
    <w:rsid w:val="00FE1901"/>
    <w:rsid w:val="00FE2857"/>
    <w:rsid w:val="00FE2AA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4AC8"/>
  <w15:docId w15:val="{EF258AA8-0981-4C1F-B57B-65F4C39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C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C9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9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61CD-AA8F-49F5-BB27-A97333FD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Tsulukidze</dc:creator>
  <cp:lastModifiedBy>Ana Kvezereli</cp:lastModifiedBy>
  <cp:revision>19</cp:revision>
  <dcterms:created xsi:type="dcterms:W3CDTF">2025-08-25T14:03:00Z</dcterms:created>
  <dcterms:modified xsi:type="dcterms:W3CDTF">2026-04-15T10:51:00Z</dcterms:modified>
</cp:coreProperties>
</file>